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2A7A" w14:textId="36BF29C2" w:rsidR="00983437" w:rsidRPr="00983437" w:rsidRDefault="00983437" w:rsidP="00983437">
      <w:r w:rsidRPr="00983437">
        <w:rPr>
          <w:b/>
          <w:bCs/>
        </w:rPr>
        <w:t>Subject Line:</w:t>
      </w:r>
      <w:r w:rsidRPr="00983437">
        <w:t xml:space="preserve"> May is Stroke Awareness Month </w:t>
      </w:r>
      <w:r w:rsidRPr="00983437">
        <w:rPr>
          <w:rFonts w:ascii="Segoe UI Emoji" w:hAnsi="Segoe UI Emoji" w:cs="Segoe UI Emoji"/>
        </w:rPr>
        <w:t>❤️</w:t>
      </w:r>
      <w:r>
        <w:rPr>
          <w:rFonts w:ascii="Segoe UI Emoji" w:hAnsi="Segoe UI Emoji" w:cs="Segoe UI Emoji"/>
        </w:rPr>
        <w:br/>
      </w:r>
      <w:r w:rsidRPr="00983437">
        <w:rPr>
          <w:b/>
          <w:bCs/>
        </w:rPr>
        <w:t>Preheader:</w:t>
      </w:r>
      <w:r w:rsidRPr="00983437">
        <w:t> Take Control of Your Heart Health</w:t>
      </w:r>
    </w:p>
    <w:p w14:paraId="436E57CA" w14:textId="77777777" w:rsidR="00983437" w:rsidRPr="00983437" w:rsidRDefault="00983437" w:rsidP="0098343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983437" w:rsidRPr="00983437" w14:paraId="69557767" w14:textId="77777777" w:rsidTr="00983437">
        <w:trPr>
          <w:tblCellSpacing w:w="0" w:type="dxa"/>
        </w:trPr>
        <w:tc>
          <w:tcPr>
            <w:tcW w:w="0" w:type="auto"/>
            <w:shd w:val="clear" w:color="auto" w:fill="FFFFFF"/>
            <w:hideMark/>
          </w:tcPr>
          <w:p w14:paraId="7B2AAB75" w14:textId="77777777" w:rsidR="00983437" w:rsidRPr="00983437" w:rsidRDefault="00983437" w:rsidP="00983437"/>
          <w:tbl>
            <w:tblPr>
              <w:tblW w:w="9000" w:type="dxa"/>
              <w:jc w:val="center"/>
              <w:tblCellSpacing w:w="0" w:type="dxa"/>
              <w:tblCellMar>
                <w:left w:w="0" w:type="dxa"/>
                <w:right w:w="0" w:type="dxa"/>
              </w:tblCellMar>
              <w:tblLook w:val="04A0" w:firstRow="1" w:lastRow="0" w:firstColumn="1" w:lastColumn="0" w:noHBand="0" w:noVBand="1"/>
            </w:tblPr>
            <w:tblGrid>
              <w:gridCol w:w="7138"/>
              <w:gridCol w:w="2222"/>
            </w:tblGrid>
            <w:tr w:rsidR="00983437" w:rsidRPr="00983437" w14:paraId="3EC38EA4" w14:textId="77777777">
              <w:trPr>
                <w:tblCellSpacing w:w="0" w:type="dxa"/>
                <w:jc w:val="center"/>
              </w:trPr>
              <w:tc>
                <w:tcPr>
                  <w:tcW w:w="0" w:type="auto"/>
                  <w:tcMar>
                    <w:top w:w="0" w:type="dxa"/>
                    <w:left w:w="360" w:type="dxa"/>
                    <w:bottom w:w="90" w:type="dxa"/>
                    <w:right w:w="360" w:type="dxa"/>
                  </w:tcMar>
                  <w:vAlign w:val="bottom"/>
                  <w:hideMark/>
                </w:tcPr>
                <w:p w14:paraId="2F00A7DC" w14:textId="77777777" w:rsidR="00983437" w:rsidRPr="00983437" w:rsidRDefault="00983437" w:rsidP="00983437">
                  <w:pPr>
                    <w:rPr>
                      <w:b/>
                      <w:bCs/>
                    </w:rPr>
                  </w:pPr>
                  <w:r w:rsidRPr="00983437">
                    <w:rPr>
                      <w:b/>
                      <w:bCs/>
                    </w:rPr>
                    <w:t>[Insert Hospital Logo]</w:t>
                  </w:r>
                </w:p>
              </w:tc>
              <w:tc>
                <w:tcPr>
                  <w:tcW w:w="0" w:type="auto"/>
                  <w:tcMar>
                    <w:top w:w="0" w:type="dxa"/>
                    <w:left w:w="360" w:type="dxa"/>
                    <w:bottom w:w="90" w:type="dxa"/>
                    <w:right w:w="360" w:type="dxa"/>
                  </w:tcMar>
                  <w:vAlign w:val="bottom"/>
                  <w:hideMark/>
                </w:tcPr>
                <w:p w14:paraId="47345C3E" w14:textId="77777777" w:rsidR="00983437" w:rsidRPr="00983437" w:rsidRDefault="00983437" w:rsidP="00983437">
                  <w:pPr>
                    <w:rPr>
                      <w:b/>
                      <w:bCs/>
                    </w:rPr>
                  </w:pPr>
                </w:p>
              </w:tc>
            </w:tr>
            <w:tr w:rsidR="00983437" w:rsidRPr="00983437" w14:paraId="4382DD9F" w14:textId="77777777">
              <w:trPr>
                <w:tblCellSpacing w:w="0" w:type="dxa"/>
                <w:jc w:val="center"/>
              </w:trPr>
              <w:tc>
                <w:tcPr>
                  <w:tcW w:w="0" w:type="auto"/>
                  <w:gridSpan w:val="2"/>
                  <w:shd w:val="clear" w:color="auto" w:fill="FFFFFF"/>
                  <w:tcMar>
                    <w:top w:w="180" w:type="dxa"/>
                    <w:left w:w="360" w:type="dxa"/>
                    <w:bottom w:w="180" w:type="dxa"/>
                    <w:right w:w="360" w:type="dxa"/>
                  </w:tcMar>
                  <w:vAlign w:val="center"/>
                  <w:hideMark/>
                </w:tcPr>
                <w:p w14:paraId="6F43F46E" w14:textId="1522F18F" w:rsidR="00983437" w:rsidRPr="00983437" w:rsidRDefault="00983437" w:rsidP="00983437">
                  <w:r w:rsidRPr="00983437">
                    <w:drawing>
                      <wp:inline distT="0" distB="0" distL="0" distR="0" wp14:anchorId="0AB202C6" wp14:editId="09CCE968">
                        <wp:extent cx="5943600" cy="667385"/>
                        <wp:effectExtent l="0" t="0" r="0" b="0"/>
                        <wp:docPr id="136157566" name="Picture 4" descr="A mosiac of WATCHMAN patients and devic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mosiac of WATCHMAN patients and device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67385"/>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40"/>
                  </w:tblGrid>
                  <w:tr w:rsidR="00983437" w:rsidRPr="00983437" w14:paraId="2C784C6C" w14:textId="77777777">
                    <w:trPr>
                      <w:tblCellSpacing w:w="15" w:type="dxa"/>
                    </w:trPr>
                    <w:tc>
                      <w:tcPr>
                        <w:tcW w:w="0" w:type="auto"/>
                        <w:tcMar>
                          <w:top w:w="300" w:type="dxa"/>
                          <w:left w:w="300" w:type="dxa"/>
                          <w:bottom w:w="300" w:type="dxa"/>
                          <w:right w:w="300" w:type="dxa"/>
                        </w:tcMar>
                        <w:vAlign w:val="center"/>
                        <w:hideMark/>
                      </w:tcPr>
                      <w:p w14:paraId="1D050B69" w14:textId="5EB1D3B6" w:rsidR="00983437" w:rsidRPr="00983437" w:rsidRDefault="00983437" w:rsidP="00983437">
                        <w:r w:rsidRPr="00983437">
                          <w:t>Hello [Patient Name],</w:t>
                        </w:r>
                        <w:r w:rsidRPr="00983437">
                          <w:br/>
                        </w:r>
                        <w:r w:rsidRPr="00983437">
                          <w:br/>
                          <w:t>This Stroke Awareness Month, we're reaching out to share some important information about atrial fibrillation (AFib) and how you can take charge of your heart health. With AFib being a major risk factor for strokes, it's crucial to stay informed and proactive. Let's explore how you can protect yourself and understand the risks.</w:t>
                        </w:r>
                        <w:r w:rsidRPr="00983437">
                          <w:br/>
                        </w:r>
                        <w:r w:rsidRPr="00983437">
                          <w:br/>
                        </w:r>
                        <w:r w:rsidRPr="00983437">
                          <w:rPr>
                            <w:b/>
                            <w:bCs/>
                          </w:rPr>
                          <w:t>Understanding AFib and Stroke Risk:</w:t>
                        </w:r>
                      </w:p>
                      <w:p w14:paraId="659380E7" w14:textId="77777777" w:rsidR="00983437" w:rsidRPr="00983437" w:rsidRDefault="00983437" w:rsidP="00983437">
                        <w:pPr>
                          <w:numPr>
                            <w:ilvl w:val="0"/>
                            <w:numId w:val="1"/>
                          </w:numPr>
                        </w:pPr>
                        <w:r w:rsidRPr="00983437">
                          <w:t xml:space="preserve">Strokes are the most common complication of </w:t>
                        </w:r>
                        <w:proofErr w:type="gramStart"/>
                        <w:r w:rsidRPr="00983437">
                          <w:t>AFib.¹</w:t>
                        </w:r>
                        <w:proofErr w:type="gramEnd"/>
                      </w:p>
                      <w:p w14:paraId="66C4FBE0" w14:textId="77777777" w:rsidR="00983437" w:rsidRPr="00983437" w:rsidRDefault="00983437" w:rsidP="00983437">
                        <w:pPr>
                          <w:numPr>
                            <w:ilvl w:val="0"/>
                            <w:numId w:val="1"/>
                          </w:numPr>
                        </w:pPr>
                        <w:r w:rsidRPr="00983437">
                          <w:t xml:space="preserve">1 out of 3 people with AFib will have a stroke in their </w:t>
                        </w:r>
                        <w:proofErr w:type="gramStart"/>
                        <w:r w:rsidRPr="00983437">
                          <w:t>lifetime.²</w:t>
                        </w:r>
                        <w:proofErr w:type="gramEnd"/>
                      </w:p>
                      <w:p w14:paraId="2DFFB809" w14:textId="77777777" w:rsidR="00983437" w:rsidRPr="00983437" w:rsidRDefault="00983437" w:rsidP="00983437">
                        <w:pPr>
                          <w:numPr>
                            <w:ilvl w:val="0"/>
                            <w:numId w:val="1"/>
                          </w:numPr>
                        </w:pPr>
                        <w:r w:rsidRPr="00983437">
                          <w:t xml:space="preserve">People with AFib have a 5x higher stroke risk compared to those with a regular </w:t>
                        </w:r>
                        <w:proofErr w:type="gramStart"/>
                        <w:r w:rsidRPr="00983437">
                          <w:t>heartbeat.¹</w:t>
                        </w:r>
                        <w:proofErr w:type="gramEnd"/>
                      </w:p>
                      <w:p w14:paraId="46440E2E" w14:textId="77777777" w:rsidR="00983437" w:rsidRPr="00983437" w:rsidRDefault="00983437" w:rsidP="00983437">
                        <w:r w:rsidRPr="00983437">
                          <w:t>These statistics highlight the importance of managing your AFib effectively to reduce your stroke risk.</w:t>
                        </w:r>
                        <w:r w:rsidRPr="00983437">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80"/>
                        </w:tblGrid>
                        <w:tr w:rsidR="00983437" w:rsidRPr="00983437" w14:paraId="3C9FE760" w14:textId="77777777" w:rsidTr="00983437">
                          <w:trPr>
                            <w:tblCellSpacing w:w="15" w:type="dxa"/>
                          </w:trPr>
                          <w:tc>
                            <w:tcPr>
                              <w:tcW w:w="7530" w:type="dxa"/>
                              <w:tcBorders>
                                <w:top w:val="single" w:sz="12" w:space="0" w:color="E57200"/>
                              </w:tcBorders>
                              <w:vAlign w:val="center"/>
                            </w:tcPr>
                            <w:p w14:paraId="3BE0DD8B" w14:textId="6713DDF5" w:rsidR="00983437" w:rsidRPr="00983437" w:rsidRDefault="00983437" w:rsidP="00983437"/>
                          </w:tc>
                        </w:tr>
                      </w:tbl>
                      <w:p w14:paraId="5D7C2B75" w14:textId="0036EEFA" w:rsidR="00983437" w:rsidRPr="00983437" w:rsidRDefault="00983437" w:rsidP="00983437">
                        <w:proofErr w:type="spellStart"/>
                        <w:r>
                          <w:t>s</w:t>
                        </w:r>
                        <w:r w:rsidRPr="00983437">
                          <w:t>Many</w:t>
                        </w:r>
                        <w:proofErr w:type="spellEnd"/>
                        <w:r w:rsidRPr="00983437">
                          <w:t xml:space="preserve"> people take blood thinners to reduce AFib-related stroke risk, but did you know there is an alternative for those who need one?</w:t>
                        </w:r>
                        <w:r w:rsidRPr="00983437">
                          <w:br/>
                        </w:r>
                        <w:r w:rsidRPr="00983437">
                          <w:rPr>
                            <w:b/>
                            <w:bCs/>
                          </w:rPr>
                          <w:t>It’s called the WATCHMAN Implant.</w:t>
                        </w:r>
                        <w:r w:rsidRPr="00983437">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80"/>
                        </w:tblGrid>
                        <w:tr w:rsidR="00983437" w:rsidRPr="00983437" w14:paraId="23EB8518" w14:textId="77777777">
                          <w:trPr>
                            <w:tblCellSpacing w:w="15" w:type="dxa"/>
                          </w:trPr>
                          <w:tc>
                            <w:tcPr>
                              <w:tcW w:w="7530" w:type="dxa"/>
                              <w:tcBorders>
                                <w:top w:val="single" w:sz="12" w:space="0" w:color="E57200"/>
                              </w:tcBorders>
                              <w:vAlign w:val="center"/>
                              <w:hideMark/>
                            </w:tcPr>
                            <w:p w14:paraId="7F9C22AF" w14:textId="77777777" w:rsidR="00983437" w:rsidRPr="00983437" w:rsidRDefault="00983437" w:rsidP="00983437">
                              <w:r w:rsidRPr="00983437">
                                <w:t> </w:t>
                              </w:r>
                            </w:p>
                          </w:tc>
                        </w:tr>
                      </w:tbl>
                      <w:p w14:paraId="1D5DA464" w14:textId="68078D70" w:rsidR="00983437" w:rsidRPr="00983437" w:rsidRDefault="00983437" w:rsidP="00983437">
                        <w:r w:rsidRPr="00983437">
                          <w:br/>
                        </w:r>
                        <w:r w:rsidRPr="00983437">
                          <w:drawing>
                            <wp:inline distT="0" distB="0" distL="0" distR="0" wp14:anchorId="6A210DCA" wp14:editId="3972B4A3">
                              <wp:extent cx="1524000" cy="314325"/>
                              <wp:effectExtent l="0" t="0" r="0" b="9525"/>
                              <wp:docPr id="453207223" name="Picture 3" descr="WATCHMAN Left Atrial Appendage Closure Implant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TCHMAN Left Atrial Appendage Closure Implant 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314325"/>
                                      </a:xfrm>
                                      <a:prstGeom prst="rect">
                                        <a:avLst/>
                                      </a:prstGeom>
                                      <a:noFill/>
                                      <a:ln>
                                        <a:noFill/>
                                      </a:ln>
                                    </pic:spPr>
                                  </pic:pic>
                                </a:graphicData>
                              </a:graphic>
                            </wp:inline>
                          </w:drawing>
                        </w:r>
                        <w:r w:rsidRPr="00983437">
                          <w:br/>
                        </w:r>
                        <w:r w:rsidRPr="00983437">
                          <w:lastRenderedPageBreak/>
                          <w:br/>
                          <w:t>The WATCHMAN Implant is a safe, minimally invasive, one-time implant for people with non-valvular atrial fibrillation (AFib) that reduces stroke risk – without the need for lifelong blood thinners. In a clinical trial, 96% of people were able to stop their blood thinners 45 days after getting the WATCHMAN Implant.¹ To learn more visit </w:t>
                        </w:r>
                        <w:hyperlink r:id="rId8" w:tgtFrame="_blank" w:history="1">
                          <w:r w:rsidRPr="00983437">
                            <w:rPr>
                              <w:rStyle w:val="Hyperlink"/>
                              <w:b/>
                              <w:bCs/>
                            </w:rPr>
                            <w:t>www.watchman.com</w:t>
                          </w:r>
                        </w:hyperlink>
                        <w:r w:rsidRPr="00983437">
                          <w:t>.</w:t>
                        </w:r>
                        <w:r w:rsidRPr="00983437">
                          <w:br/>
                        </w:r>
                        <w:r w:rsidRPr="00983437">
                          <w:br/>
                        </w:r>
                        <w:r w:rsidRPr="00983437">
                          <w:rPr>
                            <w:b/>
                            <w:bCs/>
                          </w:rPr>
                          <w:t>Don't let AFib and fear of stroke control your life.</w:t>
                        </w:r>
                        <w:r w:rsidRPr="00983437">
                          <w:br/>
                        </w:r>
                        <w:r w:rsidRPr="00983437">
                          <w:br/>
                          <w:t>We encourage you to contact us at [Hospital Contact Information] to learn more about managing your AFib and stroke risk. Our team is here to support you in taking proactive steps towards a healthier future.</w:t>
                        </w:r>
                        <w:r w:rsidRPr="00983437">
                          <w:br/>
                        </w:r>
                        <w:r w:rsidRPr="00983437">
                          <w:br/>
                          <w:t>Thank you for prioritizing your heart health. We look forward to assisting you in your journey to better health.</w:t>
                        </w:r>
                        <w:r w:rsidRPr="00983437">
                          <w:br/>
                        </w:r>
                        <w:r w:rsidRPr="00983437">
                          <w:br/>
                          <w:t>Best regards,</w:t>
                        </w:r>
                        <w:r w:rsidRPr="00983437">
                          <w:br/>
                        </w:r>
                        <w:r w:rsidRPr="00983437">
                          <w:br/>
                          <w:t>[Your Name]</w:t>
                        </w:r>
                        <w:r w:rsidRPr="00983437">
                          <w:br/>
                          <w:t>[Your Hospital Name]</w:t>
                        </w:r>
                        <w:r w:rsidRPr="00983437">
                          <w:br/>
                          <w:t>[Your Contact Information]</w:t>
                        </w:r>
                      </w:p>
                    </w:tc>
                  </w:tr>
                </w:tbl>
                <w:p w14:paraId="1E1898A3" w14:textId="77777777" w:rsidR="00983437" w:rsidRPr="00983437" w:rsidRDefault="00983437" w:rsidP="00983437">
                  <w:pPr>
                    <w:rPr>
                      <w:vanish/>
                    </w:rPr>
                  </w:pPr>
                </w:p>
                <w:tbl>
                  <w:tblPr>
                    <w:tblW w:w="5000" w:type="pct"/>
                    <w:tblCellSpacing w:w="15" w:type="dxa"/>
                    <w:tblBorders>
                      <w:top w:val="single" w:sz="24" w:space="0" w:color="E57200"/>
                    </w:tblBorders>
                    <w:shd w:val="clear" w:color="auto" w:fill="F0F1F1"/>
                    <w:tblCellMar>
                      <w:top w:w="15" w:type="dxa"/>
                      <w:left w:w="15" w:type="dxa"/>
                      <w:bottom w:w="15" w:type="dxa"/>
                      <w:right w:w="15" w:type="dxa"/>
                    </w:tblCellMar>
                    <w:tblLook w:val="04A0" w:firstRow="1" w:lastRow="0" w:firstColumn="1" w:lastColumn="0" w:noHBand="0" w:noVBand="1"/>
                  </w:tblPr>
                  <w:tblGrid>
                    <w:gridCol w:w="8640"/>
                  </w:tblGrid>
                  <w:tr w:rsidR="00983437" w:rsidRPr="00983437" w14:paraId="67015933" w14:textId="77777777">
                    <w:trPr>
                      <w:tblCellSpacing w:w="15" w:type="dxa"/>
                    </w:trPr>
                    <w:tc>
                      <w:tcPr>
                        <w:tcW w:w="0" w:type="auto"/>
                        <w:shd w:val="clear" w:color="auto" w:fill="F0F1F1"/>
                        <w:tcMar>
                          <w:top w:w="300" w:type="dxa"/>
                          <w:left w:w="300" w:type="dxa"/>
                          <w:bottom w:w="300" w:type="dxa"/>
                          <w:right w:w="300" w:type="dxa"/>
                        </w:tcMar>
                        <w:vAlign w:val="center"/>
                        <w:hideMark/>
                      </w:tcPr>
                      <w:p w14:paraId="30A4710B" w14:textId="77777777" w:rsidR="00983437" w:rsidRPr="00983437" w:rsidRDefault="00983437" w:rsidP="00983437">
                        <w:pPr>
                          <w:rPr>
                            <w:sz w:val="22"/>
                            <w:szCs w:val="22"/>
                          </w:rPr>
                        </w:pPr>
                        <w:r w:rsidRPr="00983437">
                          <w:rPr>
                            <w:b/>
                            <w:bCs/>
                            <w:sz w:val="22"/>
                            <w:szCs w:val="22"/>
                          </w:rPr>
                          <w:t>References:</w:t>
                        </w:r>
                        <w:r w:rsidRPr="00983437">
                          <w:rPr>
                            <w:sz w:val="22"/>
                            <w:szCs w:val="22"/>
                          </w:rPr>
                          <w:br/>
                          <w:t>1. Kar, S., et al, Primary Outcome Evaluation of the Next Generation LAAC Device: Results from the PINNACLE FLX Trial, </w:t>
                        </w:r>
                        <w:r w:rsidRPr="00983437">
                          <w:rPr>
                            <w:i/>
                            <w:iCs/>
                            <w:sz w:val="22"/>
                            <w:szCs w:val="22"/>
                          </w:rPr>
                          <w:t>Circulation</w:t>
                        </w:r>
                        <w:r w:rsidRPr="00983437">
                          <w:rPr>
                            <w:sz w:val="22"/>
                            <w:szCs w:val="22"/>
                          </w:rPr>
                          <w:t>, 2021.</w:t>
                        </w:r>
                        <w:r w:rsidRPr="00983437">
                          <w:rPr>
                            <w:sz w:val="22"/>
                            <w:szCs w:val="22"/>
                          </w:rPr>
                          <w:br/>
                          <w:t>2. Blackshear JL, Odell JA. Appendage obliteration to reduce stroke in cardiac surgical patients with atrial fibrillation. </w:t>
                        </w:r>
                        <w:r w:rsidRPr="00983437">
                          <w:rPr>
                            <w:i/>
                            <w:iCs/>
                            <w:sz w:val="22"/>
                            <w:szCs w:val="22"/>
                          </w:rPr>
                          <w:t xml:space="preserve">Ann </w:t>
                        </w:r>
                        <w:proofErr w:type="spellStart"/>
                        <w:r w:rsidRPr="00983437">
                          <w:rPr>
                            <w:i/>
                            <w:iCs/>
                            <w:sz w:val="22"/>
                            <w:szCs w:val="22"/>
                          </w:rPr>
                          <w:t>Thorac</w:t>
                        </w:r>
                        <w:proofErr w:type="spellEnd"/>
                        <w:r w:rsidRPr="00983437">
                          <w:rPr>
                            <w:i/>
                            <w:iCs/>
                            <w:sz w:val="22"/>
                            <w:szCs w:val="22"/>
                          </w:rPr>
                          <w:t xml:space="preserve"> Surg.</w:t>
                        </w:r>
                        <w:r w:rsidRPr="00983437">
                          <w:rPr>
                            <w:sz w:val="22"/>
                            <w:szCs w:val="22"/>
                          </w:rPr>
                          <w:t> </w:t>
                        </w:r>
                        <w:proofErr w:type="gramStart"/>
                        <w:r w:rsidRPr="00983437">
                          <w:rPr>
                            <w:sz w:val="22"/>
                            <w:szCs w:val="22"/>
                          </w:rPr>
                          <w:t>1996;61:755</w:t>
                        </w:r>
                        <w:proofErr w:type="gramEnd"/>
                        <w:r w:rsidRPr="00983437">
                          <w:rPr>
                            <w:sz w:val="22"/>
                            <w:szCs w:val="22"/>
                          </w:rPr>
                          <w:t>-759.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80"/>
                        </w:tblGrid>
                        <w:tr w:rsidR="00983437" w:rsidRPr="00983437" w14:paraId="7CCC4B4F" w14:textId="77777777">
                          <w:trPr>
                            <w:tblCellSpacing w:w="15" w:type="dxa"/>
                          </w:trPr>
                          <w:tc>
                            <w:tcPr>
                              <w:tcW w:w="7530" w:type="dxa"/>
                              <w:tcBorders>
                                <w:top w:val="single" w:sz="12" w:space="0" w:color="003D72"/>
                              </w:tcBorders>
                              <w:vAlign w:val="center"/>
                              <w:hideMark/>
                            </w:tcPr>
                            <w:p w14:paraId="2F9185F1" w14:textId="77777777" w:rsidR="00983437" w:rsidRPr="00983437" w:rsidRDefault="00983437" w:rsidP="00983437">
                              <w:pPr>
                                <w:rPr>
                                  <w:sz w:val="22"/>
                                  <w:szCs w:val="22"/>
                                </w:rPr>
                              </w:pPr>
                              <w:r w:rsidRPr="00983437">
                                <w:rPr>
                                  <w:sz w:val="22"/>
                                  <w:szCs w:val="22"/>
                                </w:rPr>
                                <w:t> </w:t>
                              </w:r>
                            </w:p>
                          </w:tc>
                        </w:tr>
                      </w:tbl>
                      <w:p w14:paraId="447210F5" w14:textId="77777777" w:rsidR="00983437" w:rsidRPr="00983437" w:rsidRDefault="00983437" w:rsidP="00983437">
                        <w:r w:rsidRPr="00983437">
                          <w:rPr>
                            <w:b/>
                            <w:bCs/>
                            <w:sz w:val="22"/>
                            <w:szCs w:val="22"/>
                          </w:rPr>
                          <w:t>Caution:</w:t>
                        </w:r>
                        <w:r w:rsidRPr="00983437">
                          <w:rPr>
                            <w:sz w:val="22"/>
                            <w:szCs w:val="22"/>
                          </w:rPr>
                          <w:t> U.S. law restricts this device to sale by or on the order of a physician.</w:t>
                        </w:r>
                        <w:r w:rsidRPr="00983437">
                          <w:rPr>
                            <w:sz w:val="22"/>
                            <w:szCs w:val="22"/>
                          </w:rPr>
                          <w:br/>
                        </w:r>
                        <w:r w:rsidRPr="00983437">
                          <w:rPr>
                            <w:sz w:val="22"/>
                            <w:szCs w:val="22"/>
                          </w:rPr>
                          <w:br/>
                          <w:t>All images are the property of Boston Scientific. All trademarks are the property of their respective owners.</w:t>
                        </w:r>
                        <w:r w:rsidRPr="00983437">
                          <w:rPr>
                            <w:sz w:val="22"/>
                            <w:szCs w:val="22"/>
                          </w:rPr>
                          <w:br/>
                        </w:r>
                        <w:r w:rsidRPr="00983437">
                          <w:rPr>
                            <w:sz w:val="22"/>
                            <w:szCs w:val="22"/>
                          </w:rPr>
                          <w:br/>
                          <w:t>Content in this email is for Informational Purposes only and does not constitute medical advice and should not be used for medical diagnoses. Boston Scientific strongly recommends that you consult with your physician on all matters pertaining to your health or to address any clinical/medical questions.</w:t>
                        </w:r>
                        <w:r w:rsidRPr="00983437">
                          <w:rPr>
                            <w:sz w:val="22"/>
                            <w:szCs w:val="22"/>
                          </w:rPr>
                          <w:br/>
                        </w:r>
                        <w:r w:rsidRPr="00983437">
                          <w:rPr>
                            <w:sz w:val="22"/>
                            <w:szCs w:val="22"/>
                          </w:rPr>
                          <w:lastRenderedPageBreak/>
                          <w:br/>
                        </w:r>
                        <w:r w:rsidRPr="00983437">
                          <w:rPr>
                            <w:b/>
                            <w:bCs/>
                            <w:sz w:val="22"/>
                            <w:szCs w:val="22"/>
                          </w:rPr>
                          <w:t>Important Safety Information</w:t>
                        </w:r>
                        <w:r w:rsidRPr="00983437">
                          <w:rPr>
                            <w:sz w:val="22"/>
                            <w:szCs w:val="22"/>
                          </w:rPr>
                          <w:br/>
                        </w:r>
                        <w:r w:rsidRPr="00983437">
                          <w:rPr>
                            <w:sz w:val="22"/>
                            <w:szCs w:val="22"/>
                          </w:rPr>
                          <w:br/>
                          <w:t>The WATCHMAN FLX and WATCHMAN FLX Pro Devices are permanent implants designed to close the left atrial appendage in the heart in an effort to reduce the risk of stroke.</w:t>
                        </w:r>
                        <w:r w:rsidRPr="00983437">
                          <w:rPr>
                            <w:sz w:val="22"/>
                            <w:szCs w:val="22"/>
                          </w:rPr>
                          <w:br/>
                        </w:r>
                        <w:r w:rsidRPr="00983437">
                          <w:rPr>
                            <w:sz w:val="22"/>
                            <w:szCs w:val="22"/>
                          </w:rPr>
                          <w:br/>
                          <w:t>With all medical procedures there are risks associated with the implant procedure and the use of the device. The risks include, but are not limited to, accidental puncture of the heart causing fluid to collect around the heart possibly leading towards the need for an additional procedure, allergic reaction, anesthesia risks, altered mental status or confusion after procedure, arrhythmias (irregular heartbeats), bleeding or throat pain from the TEE (Trans Esophageal Echo) probe, chest pain/discomfort, congestive heart failure, renal failure, excessive bleeding, gastrointestinal bleeding, groin puncture bleed, bruising at the catheter insertion site, groin pain, anemia (reduced red blood cells requiring transfusion), hypotension, infection/pneumonia (example: in or around your heart or lungs), misplacement of the device, improper seal of the appendage or movement of device from appendage wall, clot formation on the device, blood clot or air bubbles in the lungs or other organs, stroke, transient ischemic attack (temporary stroke-like symptoms), cranial bleed (bleeding in or around your brain), thrombosis (blockage of a blood vessel or vein by a clot) and in rare cases death can occur.</w:t>
                        </w:r>
                        <w:r w:rsidRPr="00983437">
                          <w:rPr>
                            <w:sz w:val="22"/>
                            <w:szCs w:val="22"/>
                          </w:rPr>
                          <w:br/>
                        </w:r>
                        <w:r w:rsidRPr="00983437">
                          <w:rPr>
                            <w:sz w:val="22"/>
                            <w:szCs w:val="22"/>
                          </w:rPr>
                          <w:br/>
                          <w:t>Be sure to talk with your doctor so that you thoroughly understand all of the risks and benefits associated with the implantation of the device. (SH-2109508-AA)</w:t>
                        </w:r>
                        <w:r w:rsidRPr="00983437">
                          <w:rPr>
                            <w:sz w:val="22"/>
                            <w:szCs w:val="22"/>
                          </w:rPr>
                          <w:br/>
                        </w:r>
                        <w:r w:rsidRPr="00983437">
                          <w:rPr>
                            <w:sz w:val="22"/>
                            <w:szCs w:val="22"/>
                          </w:rPr>
                          <w:br/>
                          <w:t>Images and content provided courtesy of Boston Scientific. Visit WATCHMAN.COM for safety information. RX only.</w:t>
                        </w:r>
                        <w:r w:rsidRPr="00983437">
                          <w:rPr>
                            <w:sz w:val="22"/>
                            <w:szCs w:val="22"/>
                          </w:rPr>
                          <w:br/>
                        </w:r>
                        <w:r w:rsidRPr="00983437">
                          <w:rPr>
                            <w:sz w:val="22"/>
                            <w:szCs w:val="22"/>
                          </w:rPr>
                          <w:br/>
                          <w:t xml:space="preserve">©2025 Boston Scientific Corporation or its affiliates. All rights reserved. All trademarks are </w:t>
                        </w:r>
                        <w:proofErr w:type="gramStart"/>
                        <w:r w:rsidRPr="00983437">
                          <w:rPr>
                            <w:sz w:val="22"/>
                            <w:szCs w:val="22"/>
                          </w:rPr>
                          <w:t>property</w:t>
                        </w:r>
                        <w:proofErr w:type="gramEnd"/>
                        <w:r w:rsidRPr="00983437">
                          <w:rPr>
                            <w:sz w:val="22"/>
                            <w:szCs w:val="22"/>
                          </w:rPr>
                          <w:t xml:space="preserve"> of their respective owners. SH-2156607-AA</w:t>
                        </w:r>
                      </w:p>
                    </w:tc>
                  </w:tr>
                </w:tbl>
                <w:p w14:paraId="39C7DD55" w14:textId="77777777" w:rsidR="00983437" w:rsidRPr="00983437" w:rsidRDefault="00983437" w:rsidP="00983437"/>
              </w:tc>
            </w:tr>
          </w:tbl>
          <w:p w14:paraId="0E7CEB24" w14:textId="77777777" w:rsidR="00983437" w:rsidRPr="00983437" w:rsidRDefault="00983437" w:rsidP="00983437"/>
        </w:tc>
      </w:tr>
    </w:tbl>
    <w:p w14:paraId="0B28CD18" w14:textId="77777777" w:rsidR="009F0FB0" w:rsidRDefault="009F0FB0"/>
    <w:sectPr w:rsidR="009F0FB0" w:rsidSect="009834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5969"/>
    <w:multiLevelType w:val="multilevel"/>
    <w:tmpl w:val="AD90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51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37"/>
    <w:rsid w:val="00313819"/>
    <w:rsid w:val="007655E2"/>
    <w:rsid w:val="009311A3"/>
    <w:rsid w:val="00983437"/>
    <w:rsid w:val="009F0FB0"/>
    <w:rsid w:val="00D11B55"/>
    <w:rsid w:val="00DA014B"/>
    <w:rsid w:val="00EA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2E14"/>
  <w15:chartTrackingRefBased/>
  <w15:docId w15:val="{B8ADF001-319A-4751-AB53-1B1475E9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437"/>
    <w:rPr>
      <w:rFonts w:eastAsiaTheme="majorEastAsia" w:cstheme="majorBidi"/>
      <w:color w:val="272727" w:themeColor="text1" w:themeTint="D8"/>
    </w:rPr>
  </w:style>
  <w:style w:type="paragraph" w:styleId="Title">
    <w:name w:val="Title"/>
    <w:basedOn w:val="Normal"/>
    <w:next w:val="Normal"/>
    <w:link w:val="TitleChar"/>
    <w:uiPriority w:val="10"/>
    <w:qFormat/>
    <w:rsid w:val="00983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437"/>
    <w:pPr>
      <w:spacing w:before="160"/>
      <w:jc w:val="center"/>
    </w:pPr>
    <w:rPr>
      <w:i/>
      <w:iCs/>
      <w:color w:val="404040" w:themeColor="text1" w:themeTint="BF"/>
    </w:rPr>
  </w:style>
  <w:style w:type="character" w:customStyle="1" w:styleId="QuoteChar">
    <w:name w:val="Quote Char"/>
    <w:basedOn w:val="DefaultParagraphFont"/>
    <w:link w:val="Quote"/>
    <w:uiPriority w:val="29"/>
    <w:rsid w:val="00983437"/>
    <w:rPr>
      <w:i/>
      <w:iCs/>
      <w:color w:val="404040" w:themeColor="text1" w:themeTint="BF"/>
    </w:rPr>
  </w:style>
  <w:style w:type="paragraph" w:styleId="ListParagraph">
    <w:name w:val="List Paragraph"/>
    <w:basedOn w:val="Normal"/>
    <w:uiPriority w:val="34"/>
    <w:qFormat/>
    <w:rsid w:val="00983437"/>
    <w:pPr>
      <w:ind w:left="720"/>
      <w:contextualSpacing/>
    </w:pPr>
  </w:style>
  <w:style w:type="character" w:styleId="IntenseEmphasis">
    <w:name w:val="Intense Emphasis"/>
    <w:basedOn w:val="DefaultParagraphFont"/>
    <w:uiPriority w:val="21"/>
    <w:qFormat/>
    <w:rsid w:val="00983437"/>
    <w:rPr>
      <w:i/>
      <w:iCs/>
      <w:color w:val="0F4761" w:themeColor="accent1" w:themeShade="BF"/>
    </w:rPr>
  </w:style>
  <w:style w:type="paragraph" w:styleId="IntenseQuote">
    <w:name w:val="Intense Quote"/>
    <w:basedOn w:val="Normal"/>
    <w:next w:val="Normal"/>
    <w:link w:val="IntenseQuoteChar"/>
    <w:uiPriority w:val="30"/>
    <w:qFormat/>
    <w:rsid w:val="00983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437"/>
    <w:rPr>
      <w:i/>
      <w:iCs/>
      <w:color w:val="0F4761" w:themeColor="accent1" w:themeShade="BF"/>
    </w:rPr>
  </w:style>
  <w:style w:type="character" w:styleId="IntenseReference">
    <w:name w:val="Intense Reference"/>
    <w:basedOn w:val="DefaultParagraphFont"/>
    <w:uiPriority w:val="32"/>
    <w:qFormat/>
    <w:rsid w:val="00983437"/>
    <w:rPr>
      <w:b/>
      <w:bCs/>
      <w:smallCaps/>
      <w:color w:val="0F4761" w:themeColor="accent1" w:themeShade="BF"/>
      <w:spacing w:val="5"/>
    </w:rPr>
  </w:style>
  <w:style w:type="character" w:styleId="Hyperlink">
    <w:name w:val="Hyperlink"/>
    <w:basedOn w:val="DefaultParagraphFont"/>
    <w:uiPriority w:val="99"/>
    <w:unhideWhenUsed/>
    <w:rsid w:val="00983437"/>
    <w:rPr>
      <w:color w:val="467886" w:themeColor="hyperlink"/>
      <w:u w:val="single"/>
    </w:rPr>
  </w:style>
  <w:style w:type="character" w:styleId="UnresolvedMention">
    <w:name w:val="Unresolved Mention"/>
    <w:basedOn w:val="DefaultParagraphFont"/>
    <w:uiPriority w:val="99"/>
    <w:semiHidden/>
    <w:unhideWhenUsed/>
    <w:rsid w:val="00983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03364">
      <w:bodyDiv w:val="1"/>
      <w:marLeft w:val="0"/>
      <w:marRight w:val="0"/>
      <w:marTop w:val="0"/>
      <w:marBottom w:val="0"/>
      <w:divBdr>
        <w:top w:val="none" w:sz="0" w:space="0" w:color="auto"/>
        <w:left w:val="none" w:sz="0" w:space="0" w:color="auto"/>
        <w:bottom w:val="none" w:sz="0" w:space="0" w:color="auto"/>
        <w:right w:val="none" w:sz="0" w:space="0" w:color="auto"/>
      </w:divBdr>
      <w:divsChild>
        <w:div w:id="2028747356">
          <w:marLeft w:val="0"/>
          <w:marRight w:val="0"/>
          <w:marTop w:val="100"/>
          <w:marBottom w:val="100"/>
          <w:divBdr>
            <w:top w:val="none" w:sz="0" w:space="0" w:color="auto"/>
            <w:left w:val="none" w:sz="0" w:space="0" w:color="auto"/>
            <w:bottom w:val="none" w:sz="0" w:space="0" w:color="auto"/>
            <w:right w:val="none" w:sz="0" w:space="0" w:color="auto"/>
          </w:divBdr>
        </w:div>
      </w:divsChild>
    </w:div>
    <w:div w:id="1203515323">
      <w:bodyDiv w:val="1"/>
      <w:marLeft w:val="0"/>
      <w:marRight w:val="0"/>
      <w:marTop w:val="0"/>
      <w:marBottom w:val="0"/>
      <w:divBdr>
        <w:top w:val="none" w:sz="0" w:space="0" w:color="auto"/>
        <w:left w:val="none" w:sz="0" w:space="0" w:color="auto"/>
        <w:bottom w:val="none" w:sz="0" w:space="0" w:color="auto"/>
        <w:right w:val="none" w:sz="0" w:space="0" w:color="auto"/>
      </w:divBdr>
      <w:divsChild>
        <w:div w:id="108306562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EruA2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EruA2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Lucas</dc:creator>
  <cp:keywords/>
  <dc:description/>
  <cp:lastModifiedBy>Anderson, Lucas</cp:lastModifiedBy>
  <cp:revision>1</cp:revision>
  <dcterms:created xsi:type="dcterms:W3CDTF">2025-04-25T15:42:00Z</dcterms:created>
  <dcterms:modified xsi:type="dcterms:W3CDTF">2025-04-25T15:44:00Z</dcterms:modified>
</cp:coreProperties>
</file>